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r w:rsidDel="00000000" w:rsidR="00000000" w:rsidRPr="00000000">
              <w:rPr>
                <w:rtl w:val="0"/>
              </w:rPr>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r w:rsidDel="00000000" w:rsidR="00000000" w:rsidRPr="00000000">
              <w:rPr>
                <w:rtl w:val="0"/>
              </w:rPr>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r w:rsidDel="00000000" w:rsidR="00000000" w:rsidRPr="00000000">
        <w:rPr>
          <w:rtl w:val="0"/>
        </w:rPr>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Services Levels and Service Credits</w:t>
      </w:r>
    </w:p>
    <w:p w:rsidR="00000000" w:rsidDel="00000000" w:rsidP="00000000" w:rsidRDefault="00000000" w:rsidRPr="00000000" w14:paraId="0000003A">
      <w:pPr>
        <w:keepNext w:val="1"/>
        <w:spacing w:after="24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Table</w:t>
      </w:r>
    </w:p>
    <w:tbl>
      <w:tblPr>
        <w:tblStyle w:val="Table2"/>
        <w:tblW w:w="10860.0" w:type="dxa"/>
        <w:jc w:val="left"/>
        <w:tblInd w:w="-4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665"/>
        <w:gridCol w:w="2760"/>
        <w:gridCol w:w="4740"/>
        <w:gridCol w:w="1695"/>
        <w:tblGridChange w:id="0">
          <w:tblGrid>
            <w:gridCol w:w="1665"/>
            <w:gridCol w:w="2760"/>
            <w:gridCol w:w="4740"/>
            <w:gridCol w:w="1695"/>
          </w:tblGrid>
        </w:tblGridChange>
      </w:tblGrid>
      <w:tr>
        <w:trPr>
          <w:cantSplit w:val="0"/>
          <w:tblHeader w:val="0"/>
        </w:trPr>
        <w:tc>
          <w:tcPr>
            <w:shd w:fill="b8cce4" w:val="clear"/>
          </w:tcPr>
          <w:p w:rsidR="00000000" w:rsidDel="00000000" w:rsidP="00000000" w:rsidRDefault="00000000" w:rsidRPr="00000000" w14:paraId="0000003B">
            <w:pPr>
              <w:pStyle w:val="Heading2"/>
              <w:keepNext w:val="0"/>
              <w:keepLines w:val="0"/>
              <w:spacing w:line="276"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KPI/SLA</w:t>
            </w:r>
          </w:p>
        </w:tc>
        <w:tc>
          <w:tcPr>
            <w:shd w:fill="b8cce4" w:val="clear"/>
          </w:tcPr>
          <w:p w:rsidR="00000000" w:rsidDel="00000000" w:rsidP="00000000" w:rsidRDefault="00000000" w:rsidRPr="00000000" w14:paraId="0000003C">
            <w:pPr>
              <w:pStyle w:val="Heading2"/>
              <w:keepNext w:val="0"/>
              <w:keepLines w:val="0"/>
              <w:spacing w:line="276"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Area</w:t>
            </w:r>
          </w:p>
        </w:tc>
        <w:tc>
          <w:tcPr>
            <w:shd w:fill="b8cce4" w:val="clear"/>
          </w:tcPr>
          <w:p w:rsidR="00000000" w:rsidDel="00000000" w:rsidP="00000000" w:rsidRDefault="00000000" w:rsidRPr="00000000" w14:paraId="0000003D">
            <w:pPr>
              <w:pStyle w:val="Heading2"/>
              <w:keepNext w:val="0"/>
              <w:keepLines w:val="0"/>
              <w:spacing w:line="276"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KPI/SLA description</w:t>
            </w:r>
          </w:p>
        </w:tc>
        <w:tc>
          <w:tcPr>
            <w:shd w:fill="b8cce4" w:val="clear"/>
          </w:tcPr>
          <w:p w:rsidR="00000000" w:rsidDel="00000000" w:rsidP="00000000" w:rsidRDefault="00000000" w:rsidRPr="00000000" w14:paraId="0000003E">
            <w:pPr>
              <w:pStyle w:val="Heading2"/>
              <w:keepNext w:val="0"/>
              <w:keepLines w:val="0"/>
              <w:spacing w:line="276" w:lineRule="auto"/>
              <w:ind w:left="114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Target</w:t>
            </w:r>
          </w:p>
        </w:tc>
      </w:tr>
      <w:tr>
        <w:trPr>
          <w:cantSplit w:val="0"/>
          <w:tblHeader w:val="0"/>
        </w:trPr>
        <w:tc>
          <w:tcPr/>
          <w:p w:rsidR="00000000" w:rsidDel="00000000" w:rsidP="00000000" w:rsidRDefault="00000000" w:rsidRPr="00000000" w14:paraId="0000003F">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w:t>
            </w:r>
          </w:p>
        </w:tc>
        <w:tc>
          <w:tcPr/>
          <w:p w:rsidR="00000000" w:rsidDel="00000000" w:rsidP="00000000" w:rsidRDefault="00000000" w:rsidRPr="00000000" w14:paraId="00000040">
            <w:pPr>
              <w:pStyle w:val="Heading2"/>
              <w:keepNext w:val="0"/>
              <w:keepLines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Monthly Reports (as per para 9.1 of Call-Off Schedule 20 - Specification)</w:t>
            </w:r>
          </w:p>
        </w:tc>
        <w:tc>
          <w:tcPr/>
          <w:p w:rsidR="00000000" w:rsidDel="00000000" w:rsidP="00000000" w:rsidRDefault="00000000" w:rsidRPr="00000000" w14:paraId="00000041">
            <w:pPr>
              <w:pStyle w:val="Heading2"/>
              <w:keepNext w:val="0"/>
              <w:keepLines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Reports completed and produced in line with agreed schedule by the 8th of each month </w:t>
            </w:r>
          </w:p>
        </w:tc>
        <w:tc>
          <w:tcPr/>
          <w:p w:rsidR="00000000" w:rsidDel="00000000" w:rsidP="00000000" w:rsidRDefault="00000000" w:rsidRPr="00000000" w14:paraId="00000042">
            <w:pPr>
              <w:pStyle w:val="Heading2"/>
              <w:keepNext w:val="0"/>
              <w:keepLines w:val="0"/>
              <w:spacing w:line="276" w:lineRule="auto"/>
              <w:ind w:left="425.99999999999994"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p w:rsidR="00000000" w:rsidDel="00000000" w:rsidP="00000000" w:rsidRDefault="00000000" w:rsidRPr="00000000" w14:paraId="00000043">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p w:rsidR="00000000" w:rsidDel="00000000" w:rsidP="00000000" w:rsidRDefault="00000000" w:rsidRPr="00000000" w14:paraId="00000044">
            <w:pPr>
              <w:pStyle w:val="Heading2"/>
              <w:keepNext w:val="0"/>
              <w:keepLines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Invoicing</w:t>
            </w:r>
          </w:p>
        </w:tc>
        <w:tc>
          <w:tcPr/>
          <w:p w:rsidR="00000000" w:rsidDel="00000000" w:rsidP="00000000" w:rsidRDefault="00000000" w:rsidRPr="00000000" w14:paraId="00000045">
            <w:pPr>
              <w:pStyle w:val="Heading2"/>
              <w:keepNext w:val="0"/>
              <w:keepLines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to provide a monthly summary of charges with itemised transaction detail by the 8th of each month</w:t>
            </w:r>
          </w:p>
        </w:tc>
        <w:tc>
          <w:tcPr/>
          <w:p w:rsidR="00000000" w:rsidDel="00000000" w:rsidP="00000000" w:rsidRDefault="00000000" w:rsidRPr="00000000" w14:paraId="00000046">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p w:rsidR="00000000" w:rsidDel="00000000" w:rsidP="00000000" w:rsidRDefault="00000000" w:rsidRPr="00000000" w14:paraId="00000047">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p w:rsidR="00000000" w:rsidDel="00000000" w:rsidP="00000000" w:rsidRDefault="00000000" w:rsidRPr="00000000" w14:paraId="00000048">
            <w:pPr>
              <w:pStyle w:val="Heading2"/>
              <w:keepNext w:val="0"/>
              <w:keepLines w:val="0"/>
              <w:spacing w:line="276" w:lineRule="auto"/>
              <w:jc w:val="left"/>
              <w:rPr>
                <w:rFonts w:ascii="Arial" w:cs="Arial" w:eastAsia="Arial" w:hAnsi="Arial"/>
                <w:b w:val="0"/>
                <w:color w:val="000000"/>
                <w:sz w:val="24"/>
                <w:szCs w:val="24"/>
                <w:highlight w:val="white"/>
              </w:rPr>
            </w:pPr>
            <w:r w:rsidDel="00000000" w:rsidR="00000000" w:rsidRPr="00000000">
              <w:rPr>
                <w:rFonts w:ascii="Arial" w:cs="Arial" w:eastAsia="Arial" w:hAnsi="Arial"/>
                <w:b w:val="0"/>
                <w:color w:val="000000"/>
                <w:sz w:val="24"/>
                <w:szCs w:val="24"/>
                <w:highlight w:val="white"/>
                <w:rtl w:val="0"/>
              </w:rPr>
              <w:t xml:space="preserve">Employee Refunds</w:t>
            </w:r>
          </w:p>
        </w:tc>
        <w:tc>
          <w:tcPr/>
          <w:p w:rsidR="00000000" w:rsidDel="00000000" w:rsidP="00000000" w:rsidRDefault="00000000" w:rsidRPr="00000000" w14:paraId="00000049">
            <w:pPr>
              <w:pStyle w:val="Heading2"/>
              <w:keepNext w:val="0"/>
              <w:keepLines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highlight w:val="white"/>
                <w:rtl w:val="0"/>
              </w:rPr>
              <w:t xml:space="preserve">Refunds</w:t>
            </w:r>
            <w:r w:rsidDel="00000000" w:rsidR="00000000" w:rsidRPr="00000000">
              <w:rPr>
                <w:rFonts w:ascii="Arial" w:cs="Arial" w:eastAsia="Arial" w:hAnsi="Arial"/>
                <w:b w:val="0"/>
                <w:color w:val="000000"/>
                <w:sz w:val="24"/>
                <w:szCs w:val="24"/>
                <w:rtl w:val="0"/>
              </w:rPr>
              <w:t xml:space="preserve"> where relevant are issued to employees within 5 days as  </w:t>
            </w:r>
            <w:r w:rsidDel="00000000" w:rsidR="00000000" w:rsidRPr="00000000">
              <w:rPr>
                <w:rFonts w:ascii="Arial" w:cs="Arial" w:eastAsia="Arial" w:hAnsi="Arial"/>
                <w:b w:val="0"/>
                <w:color w:val="000000"/>
                <w:sz w:val="24"/>
                <w:szCs w:val="24"/>
                <w:highlight w:val="white"/>
                <w:rtl w:val="0"/>
              </w:rPr>
              <w:t xml:space="preserve">per</w:t>
            </w:r>
            <w:r w:rsidDel="00000000" w:rsidR="00000000" w:rsidRPr="00000000">
              <w:rPr>
                <w:rFonts w:ascii="Arial" w:cs="Arial" w:eastAsia="Arial" w:hAnsi="Arial"/>
                <w:b w:val="0"/>
                <w:color w:val="000000"/>
                <w:sz w:val="24"/>
                <w:szCs w:val="24"/>
                <w:rtl w:val="0"/>
              </w:rPr>
              <w:t xml:space="preserve"> para 6.9.8 of Call-Off Schedule 20 - Specification</w:t>
            </w:r>
          </w:p>
        </w:tc>
        <w:tc>
          <w:tcPr/>
          <w:p w:rsidR="00000000" w:rsidDel="00000000" w:rsidP="00000000" w:rsidRDefault="00000000" w:rsidRPr="00000000" w14:paraId="0000004A">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p w:rsidR="00000000" w:rsidDel="00000000" w:rsidP="00000000" w:rsidRDefault="00000000" w:rsidRPr="00000000" w14:paraId="0000004B">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p w:rsidR="00000000" w:rsidDel="00000000" w:rsidP="00000000" w:rsidRDefault="00000000" w:rsidRPr="00000000" w14:paraId="0000004C">
            <w:pPr>
              <w:pStyle w:val="Heading2"/>
              <w:keepNext w:val="0"/>
              <w:keepLines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Cabinet Office Refunds </w:t>
            </w:r>
          </w:p>
        </w:tc>
        <w:tc>
          <w:tcPr>
            <w:shd w:fill="ffffff" w:val="clear"/>
          </w:tcPr>
          <w:p w:rsidR="00000000" w:rsidDel="00000000" w:rsidP="00000000" w:rsidRDefault="00000000" w:rsidRPr="00000000" w14:paraId="0000004D">
            <w:pPr>
              <w:pStyle w:val="Heading2"/>
              <w:keepNext w:val="0"/>
              <w:keepLines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Refunds where relevant to Cabinet Office are issued within 10 weeks as per para 6.9.9 of Call-Off Schedule 20 - Specification</w:t>
            </w:r>
          </w:p>
        </w:tc>
        <w:tc>
          <w:tcPr/>
          <w:p w:rsidR="00000000" w:rsidDel="00000000" w:rsidP="00000000" w:rsidRDefault="00000000" w:rsidRPr="00000000" w14:paraId="0000004E">
            <w:pPr>
              <w:pStyle w:val="Heading2"/>
              <w:keepNext w:val="0"/>
              <w:keepLines w:val="0"/>
              <w:spacing w:line="276" w:lineRule="auto"/>
              <w:ind w:left="1146" w:hanging="720"/>
              <w:jc w:val="left"/>
              <w:rPr>
                <w:rFonts w:ascii="Arial" w:cs="Arial" w:eastAsia="Arial" w:hAnsi="Arial"/>
                <w:b w:val="0"/>
                <w:color w:val="000000"/>
                <w:sz w:val="24"/>
                <w:szCs w:val="24"/>
              </w:rPr>
            </w:pPr>
            <w:bookmarkStart w:colFirst="0" w:colLast="0" w:name="_heading=h.gjdgxs" w:id="0"/>
            <w:bookmarkEnd w:id="0"/>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p w:rsidR="00000000" w:rsidDel="00000000" w:rsidP="00000000" w:rsidRDefault="00000000" w:rsidRPr="00000000" w14:paraId="0000004F">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p w:rsidR="00000000" w:rsidDel="00000000" w:rsidP="00000000" w:rsidRDefault="00000000" w:rsidRPr="00000000" w14:paraId="00000050">
            <w:pPr>
              <w:pStyle w:val="Heading2"/>
              <w:keepNext w:val="0"/>
              <w:keepLines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Ensuring the portal is available 24 hours a day.</w:t>
            </w:r>
          </w:p>
        </w:tc>
        <w:tc>
          <w:tcPr/>
          <w:p w:rsidR="00000000" w:rsidDel="00000000" w:rsidP="00000000" w:rsidRDefault="00000000" w:rsidRPr="00000000" w14:paraId="00000051">
            <w:pPr>
              <w:pStyle w:val="Heading2"/>
              <w:keepNext w:val="0"/>
              <w:keepLines w:val="0"/>
              <w:spacing w:line="276" w:lineRule="auto"/>
              <w:jc w:val="left"/>
              <w:rPr>
                <w:rFonts w:ascii="Arial" w:cs="Arial" w:eastAsia="Arial" w:hAnsi="Arial"/>
                <w:b w:val="0"/>
                <w:color w:val="000000"/>
                <w:sz w:val="24"/>
                <w:szCs w:val="24"/>
              </w:rPr>
            </w:pPr>
            <w:bookmarkStart w:colFirst="0" w:colLast="0" w:name="_heading=h.30j0zll" w:id="1"/>
            <w:bookmarkEnd w:id="1"/>
            <w:r w:rsidDel="00000000" w:rsidR="00000000" w:rsidRPr="00000000">
              <w:rPr>
                <w:rFonts w:ascii="Arial" w:cs="Arial" w:eastAsia="Arial" w:hAnsi="Arial"/>
                <w:b w:val="0"/>
                <w:color w:val="000000"/>
                <w:sz w:val="24"/>
                <w:szCs w:val="24"/>
                <w:rtl w:val="0"/>
              </w:rPr>
              <w:t xml:space="preserve">The supplier shall ensure that the portal is available 24 hours a day, 365 days per year </w:t>
            </w:r>
          </w:p>
        </w:tc>
        <w:tc>
          <w:tcPr/>
          <w:p w:rsidR="00000000" w:rsidDel="00000000" w:rsidP="00000000" w:rsidRDefault="00000000" w:rsidRPr="00000000" w14:paraId="00000052">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p w:rsidR="00000000" w:rsidDel="00000000" w:rsidP="00000000" w:rsidRDefault="00000000" w:rsidRPr="00000000" w14:paraId="00000053">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p w:rsidR="00000000" w:rsidDel="00000000" w:rsidP="00000000" w:rsidRDefault="00000000" w:rsidRPr="00000000" w14:paraId="00000054">
            <w:pPr>
              <w:pStyle w:val="Heading2"/>
              <w:keepNext w:val="0"/>
              <w:keepLines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Portal system outage</w:t>
            </w:r>
          </w:p>
        </w:tc>
        <w:tc>
          <w:tcPr/>
          <w:p w:rsidR="00000000" w:rsidDel="00000000" w:rsidP="00000000" w:rsidRDefault="00000000" w:rsidRPr="00000000" w14:paraId="00000055">
            <w:pPr>
              <w:pStyle w:val="Heading2"/>
              <w:keepNext w:val="0"/>
              <w:keepLines w:val="0"/>
              <w:spacing w:line="276" w:lineRule="auto"/>
              <w:jc w:val="left"/>
              <w:rPr>
                <w:rFonts w:ascii="Arial" w:cs="Arial" w:eastAsia="Arial" w:hAnsi="Arial"/>
                <w:b w:val="0"/>
                <w:color w:val="000000"/>
                <w:sz w:val="24"/>
                <w:szCs w:val="24"/>
              </w:rPr>
            </w:pPr>
            <w:bookmarkStart w:colFirst="0" w:colLast="0" w:name="_heading=h.1fob9te" w:id="2"/>
            <w:bookmarkEnd w:id="2"/>
            <w:r w:rsidDel="00000000" w:rsidR="00000000" w:rsidRPr="00000000">
              <w:rPr>
                <w:rFonts w:ascii="Arial" w:cs="Arial" w:eastAsia="Arial" w:hAnsi="Arial"/>
                <w:b w:val="0"/>
                <w:color w:val="000000"/>
                <w:sz w:val="24"/>
                <w:szCs w:val="24"/>
                <w:rtl w:val="0"/>
              </w:rPr>
              <w:t xml:space="preserve">If the portal system is out of operation for any reason it must be back up and running within 72 hours</w:t>
            </w:r>
          </w:p>
        </w:tc>
        <w:tc>
          <w:tcPr/>
          <w:p w:rsidR="00000000" w:rsidDel="00000000" w:rsidP="00000000" w:rsidRDefault="00000000" w:rsidRPr="00000000" w14:paraId="00000056">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p w:rsidR="00000000" w:rsidDel="00000000" w:rsidP="00000000" w:rsidRDefault="00000000" w:rsidRPr="00000000" w14:paraId="00000057">
            <w:pPr>
              <w:pStyle w:val="Heading2"/>
              <w:keepNext w:val="0"/>
              <w:keepLines w:val="0"/>
              <w:spacing w:line="276" w:lineRule="auto"/>
              <w:ind w:left="1146" w:hanging="72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w:t>
            </w:r>
          </w:p>
        </w:tc>
        <w:tc>
          <w:tcPr/>
          <w:p w:rsidR="00000000" w:rsidDel="00000000" w:rsidP="00000000" w:rsidRDefault="00000000" w:rsidRPr="00000000" w14:paraId="00000058">
            <w:pPr>
              <w:pStyle w:val="Heading2"/>
              <w:keepNext w:val="0"/>
              <w:keepLines w:val="0"/>
              <w:spacing w:line="276" w:lineRule="auto"/>
              <w:jc w:val="left"/>
              <w:rPr>
                <w:rFonts w:ascii="Arial" w:cs="Arial" w:eastAsia="Arial" w:hAnsi="Arial"/>
                <w:b w:val="0"/>
                <w:color w:val="000000"/>
                <w:sz w:val="24"/>
                <w:szCs w:val="24"/>
              </w:rPr>
            </w:pPr>
            <w:bookmarkStart w:colFirst="0" w:colLast="0" w:name="_heading=h.3znysh7" w:id="3"/>
            <w:bookmarkEnd w:id="3"/>
            <w:r w:rsidDel="00000000" w:rsidR="00000000" w:rsidRPr="00000000">
              <w:rPr>
                <w:rFonts w:ascii="Arial" w:cs="Arial" w:eastAsia="Arial" w:hAnsi="Arial"/>
                <w:b w:val="0"/>
                <w:color w:val="000000"/>
                <w:sz w:val="24"/>
                <w:szCs w:val="24"/>
                <w:rtl w:val="0"/>
              </w:rPr>
              <w:t xml:space="preserve">Reward voucher </w:t>
            </w:r>
          </w:p>
        </w:tc>
        <w:tc>
          <w:tcPr/>
          <w:p w:rsidR="00000000" w:rsidDel="00000000" w:rsidP="00000000" w:rsidRDefault="00000000" w:rsidRPr="00000000" w14:paraId="00000059">
            <w:pPr>
              <w:pStyle w:val="Heading2"/>
              <w:keepNext w:val="0"/>
              <w:keepLines w:val="0"/>
              <w:spacing w:line="276" w:lineRule="auto"/>
              <w:jc w:val="left"/>
              <w:rPr>
                <w:rFonts w:ascii="Arial" w:cs="Arial" w:eastAsia="Arial" w:hAnsi="Arial"/>
                <w:b w:val="0"/>
                <w:color w:val="000000"/>
                <w:sz w:val="24"/>
                <w:szCs w:val="24"/>
              </w:rPr>
            </w:pPr>
            <w:bookmarkStart w:colFirst="0" w:colLast="0" w:name="_heading=h.2et92p0" w:id="4"/>
            <w:bookmarkEnd w:id="4"/>
            <w:r w:rsidDel="00000000" w:rsidR="00000000" w:rsidRPr="00000000">
              <w:rPr>
                <w:rFonts w:ascii="Arial" w:cs="Arial" w:eastAsia="Arial" w:hAnsi="Arial"/>
                <w:b w:val="0"/>
                <w:color w:val="000000"/>
                <w:sz w:val="24"/>
                <w:szCs w:val="24"/>
                <w:rtl w:val="0"/>
              </w:rPr>
              <w:t xml:space="preserve">Ordered vouchers to be issued to recipients within 24 to 48 hours </w:t>
            </w:r>
          </w:p>
        </w:tc>
        <w:tc>
          <w:tcPr/>
          <w:p w:rsidR="00000000" w:rsidDel="00000000" w:rsidP="00000000" w:rsidRDefault="00000000" w:rsidRPr="00000000" w14:paraId="0000005A">
            <w:pPr>
              <w:pStyle w:val="Heading2"/>
              <w:keepNext w:val="0"/>
              <w:keepLines w:val="0"/>
              <w:spacing w:line="276" w:lineRule="auto"/>
              <w:ind w:left="1146" w:hanging="720"/>
              <w:jc w:val="left"/>
              <w:rPr>
                <w:rFonts w:ascii="Arial" w:cs="Arial" w:eastAsia="Arial" w:hAnsi="Arial"/>
                <w:b w:val="0"/>
                <w:color w:val="000000"/>
                <w:sz w:val="24"/>
                <w:szCs w:val="24"/>
              </w:rPr>
            </w:pPr>
            <w:bookmarkStart w:colFirst="0" w:colLast="0" w:name="_heading=h.tyjcwt" w:id="5"/>
            <w:bookmarkEnd w:id="5"/>
            <w:r w:rsidDel="00000000" w:rsidR="00000000" w:rsidRPr="00000000">
              <w:rPr>
                <w:rFonts w:ascii="Arial" w:cs="Arial" w:eastAsia="Arial" w:hAnsi="Arial"/>
                <w:b w:val="0"/>
                <w:color w:val="000000"/>
                <w:sz w:val="24"/>
                <w:szCs w:val="24"/>
                <w:rtl w:val="0"/>
              </w:rPr>
              <w:t xml:space="preserve">98%</w:t>
            </w:r>
          </w:p>
        </w:tc>
      </w:tr>
    </w:tbl>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C">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D">
      <w:pPr>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5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06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Atgf1XWc0GLbZnKa5WYuAKfvqQ==">CgMxLjAyCGguZ2pkZ3hzMgloLjMwajB6bGwyCWguMWZvYjl0ZTIJaC4zem55c2g3MgloLjJldDkycDAyCGgudHlqY3d0MgloLjNkeTZ2a20yCWguMXQzaDVzZjgAciExdWFwRUhYX2pfSjdzS3ZXV1plMUtlUHJFQms5eC0wU0w=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